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82A" w:rsidRDefault="00FE082A"/>
    <w:p w:rsidR="00FE082A" w:rsidRDefault="00FE082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3260"/>
        <w:gridCol w:w="5245"/>
        <w:gridCol w:w="4613"/>
      </w:tblGrid>
      <w:tr w:rsidR="00CB4345">
        <w:trPr>
          <w:cantSplit/>
          <w:trHeight w:hRule="exact" w:val="397"/>
          <w:jc w:val="center"/>
        </w:trPr>
        <w:tc>
          <w:tcPr>
            <w:tcW w:w="1668" w:type="dxa"/>
            <w:vMerge w:val="restart"/>
            <w:tcBorders>
              <w:top w:val="nil"/>
              <w:left w:val="nil"/>
              <w:right w:val="single" w:sz="4" w:space="0" w:color="auto"/>
            </w:tcBorders>
          </w:tcPr>
          <w:p w:rsidR="00CB4345" w:rsidRDefault="00C70496" w:rsidP="00762300">
            <w:pPr>
              <w:suppressAutoHyphens/>
              <w:rPr>
                <w:rFonts w:ascii="Times New Roman" w:hAnsi="Times New Roman"/>
                <w:sz w:val="24"/>
                <w:szCs w:val="24"/>
                <w:lang w:val="en-GB"/>
              </w:rPr>
            </w:pPr>
            <w:r w:rsidRPr="00C70496">
              <w:rPr>
                <w:rFonts w:ascii="Times New Roman" w:hAnsi="Times New Roman"/>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63.75pt">
                  <v:imagedata r:id="rId7" o:title="blue%20tiff"/>
                </v:shape>
              </w:pict>
            </w:r>
          </w:p>
        </w:tc>
        <w:tc>
          <w:tcPr>
            <w:tcW w:w="13118" w:type="dxa"/>
            <w:gridSpan w:val="3"/>
            <w:tcBorders>
              <w:top w:val="single" w:sz="4" w:space="0" w:color="auto"/>
              <w:left w:val="single" w:sz="4" w:space="0" w:color="auto"/>
              <w:bottom w:val="single" w:sz="4" w:space="0" w:color="auto"/>
              <w:right w:val="single" w:sz="4" w:space="0" w:color="auto"/>
            </w:tcBorders>
            <w:vAlign w:val="center"/>
          </w:tcPr>
          <w:p w:rsidR="00FE082A" w:rsidRDefault="00563551" w:rsidP="00762300">
            <w:pPr>
              <w:suppressAutoHyphens/>
              <w:jc w:val="center"/>
              <w:rPr>
                <w:rFonts w:ascii="Times New Roman" w:hAnsi="Times New Roman"/>
                <w:sz w:val="24"/>
                <w:szCs w:val="24"/>
                <w:lang w:val="en-GB"/>
              </w:rPr>
            </w:pPr>
            <w:r w:rsidRPr="00563551">
              <w:rPr>
                <w:rFonts w:cs="Arial"/>
                <w:b/>
                <w:sz w:val="24"/>
                <w:szCs w:val="24"/>
                <w:lang w:val="en-GB"/>
              </w:rPr>
              <w:t>CIML online ballot and comment</w:t>
            </w:r>
            <w:r>
              <w:rPr>
                <w:rFonts w:cs="Arial"/>
                <w:b/>
                <w:sz w:val="24"/>
                <w:szCs w:val="24"/>
                <w:lang w:val="en-GB"/>
              </w:rPr>
              <w:t xml:space="preserve">s </w:t>
            </w:r>
          </w:p>
          <w:p w:rsidR="00FE082A" w:rsidRDefault="00FE082A" w:rsidP="00762300">
            <w:pPr>
              <w:suppressAutoHyphens/>
              <w:jc w:val="center"/>
              <w:rPr>
                <w:rFonts w:ascii="Times New Roman" w:hAnsi="Times New Roman"/>
                <w:sz w:val="24"/>
                <w:szCs w:val="24"/>
                <w:lang w:val="en-GB"/>
              </w:rPr>
            </w:pPr>
          </w:p>
        </w:tc>
      </w:tr>
      <w:tr w:rsidR="00CB4345">
        <w:trPr>
          <w:cantSplit/>
          <w:trHeight w:val="397"/>
          <w:jc w:val="center"/>
        </w:trPr>
        <w:tc>
          <w:tcPr>
            <w:tcW w:w="1668" w:type="dxa"/>
            <w:vMerge/>
            <w:tcBorders>
              <w:left w:val="nil"/>
              <w:right w:val="single" w:sz="4" w:space="0" w:color="auto"/>
            </w:tcBorders>
          </w:tcPr>
          <w:p w:rsidR="00CB4345" w:rsidRDefault="00CB4345" w:rsidP="00762300">
            <w:pPr>
              <w:suppressAutoHyphens/>
              <w:rPr>
                <w:rFonts w:ascii="Times New Roman" w:hAnsi="Times New Roman"/>
                <w:sz w:val="24"/>
                <w:szCs w:val="24"/>
                <w:lang w:val="en-GB"/>
              </w:rPr>
            </w:pPr>
          </w:p>
        </w:tc>
        <w:tc>
          <w:tcPr>
            <w:tcW w:w="3260" w:type="dxa"/>
            <w:tcBorders>
              <w:top w:val="single" w:sz="4" w:space="0" w:color="auto"/>
              <w:left w:val="single" w:sz="4" w:space="0" w:color="auto"/>
              <w:bottom w:val="single" w:sz="4" w:space="0" w:color="auto"/>
              <w:right w:val="single" w:sz="4" w:space="0" w:color="auto"/>
            </w:tcBorders>
            <w:vAlign w:val="center"/>
          </w:tcPr>
          <w:p w:rsidR="00CB4345" w:rsidRPr="00961210" w:rsidRDefault="00CB4345" w:rsidP="00762300">
            <w:pPr>
              <w:suppressAutoHyphens/>
              <w:rPr>
                <w:rFonts w:cs="Arial"/>
                <w:szCs w:val="22"/>
                <w:lang w:val="en-GB"/>
              </w:rPr>
            </w:pPr>
            <w:r w:rsidRPr="00961210">
              <w:rPr>
                <w:rFonts w:cs="Arial"/>
                <w:szCs w:val="22"/>
                <w:lang w:val="en-GB"/>
              </w:rPr>
              <w:t>Comments on:</w:t>
            </w:r>
          </w:p>
        </w:tc>
        <w:tc>
          <w:tcPr>
            <w:tcW w:w="9858" w:type="dxa"/>
            <w:gridSpan w:val="2"/>
            <w:tcBorders>
              <w:top w:val="single" w:sz="4" w:space="0" w:color="auto"/>
              <w:left w:val="single" w:sz="4" w:space="0" w:color="auto"/>
              <w:bottom w:val="single" w:sz="4" w:space="0" w:color="auto"/>
              <w:right w:val="single" w:sz="4" w:space="0" w:color="auto"/>
            </w:tcBorders>
            <w:vAlign w:val="center"/>
          </w:tcPr>
          <w:p w:rsidR="00CB4345" w:rsidRPr="00A84EEC" w:rsidRDefault="00A84EEC" w:rsidP="00A84EEC">
            <w:pPr>
              <w:autoSpaceDE w:val="0"/>
              <w:autoSpaceDN w:val="0"/>
              <w:adjustRightInd w:val="0"/>
              <w:rPr>
                <w:b/>
                <w:sz w:val="24"/>
                <w:szCs w:val="24"/>
              </w:rPr>
            </w:pPr>
            <w:r w:rsidRPr="00A84EEC">
              <w:rPr>
                <w:b/>
                <w:sz w:val="24"/>
                <w:szCs w:val="24"/>
              </w:rPr>
              <w:t xml:space="preserve">R 100 </w:t>
            </w:r>
            <w:r w:rsidRPr="00A84EEC">
              <w:rPr>
                <w:rFonts w:cs="Arial"/>
                <w:b/>
                <w:sz w:val="24"/>
                <w:szCs w:val="24"/>
                <w:lang w:val="en-GB"/>
              </w:rPr>
              <w:t>Atomic absorption spectrometer systems for measuring metal pollutants in water</w:t>
            </w:r>
          </w:p>
        </w:tc>
      </w:tr>
      <w:tr w:rsidR="0015693D" w:rsidTr="00E27B20">
        <w:trPr>
          <w:cantSplit/>
          <w:trHeight w:val="397"/>
          <w:jc w:val="center"/>
        </w:trPr>
        <w:tc>
          <w:tcPr>
            <w:tcW w:w="1668" w:type="dxa"/>
            <w:vMerge/>
            <w:tcBorders>
              <w:left w:val="nil"/>
              <w:bottom w:val="nil"/>
              <w:right w:val="single" w:sz="4" w:space="0" w:color="auto"/>
            </w:tcBorders>
          </w:tcPr>
          <w:p w:rsidR="0015693D" w:rsidRDefault="0015693D" w:rsidP="00762300">
            <w:pPr>
              <w:suppressAutoHyphens/>
              <w:rPr>
                <w:rFonts w:ascii="Times New Roman" w:hAnsi="Times New Roman"/>
                <w:sz w:val="24"/>
                <w:szCs w:val="24"/>
                <w:lang w:val="en-GB"/>
              </w:rPr>
            </w:pPr>
          </w:p>
        </w:tc>
        <w:tc>
          <w:tcPr>
            <w:tcW w:w="3260" w:type="dxa"/>
            <w:tcBorders>
              <w:top w:val="single" w:sz="4" w:space="0" w:color="auto"/>
              <w:left w:val="single" w:sz="4" w:space="0" w:color="auto"/>
              <w:bottom w:val="single" w:sz="4" w:space="0" w:color="auto"/>
              <w:right w:val="single" w:sz="4" w:space="0" w:color="auto"/>
            </w:tcBorders>
            <w:vAlign w:val="center"/>
          </w:tcPr>
          <w:p w:rsidR="0015693D" w:rsidRPr="00961210" w:rsidRDefault="00FE082A" w:rsidP="0015693D">
            <w:pPr>
              <w:suppressAutoHyphens/>
              <w:rPr>
                <w:rFonts w:cs="Arial"/>
                <w:szCs w:val="22"/>
                <w:lang w:val="en-GB"/>
              </w:rPr>
            </w:pPr>
            <w:r w:rsidRPr="00961210">
              <w:rPr>
                <w:rFonts w:cs="Arial"/>
                <w:szCs w:val="22"/>
                <w:lang w:val="en-GB"/>
              </w:rPr>
              <w:t>Country/Liaison Organisation:</w:t>
            </w:r>
          </w:p>
        </w:tc>
        <w:tc>
          <w:tcPr>
            <w:tcW w:w="5245" w:type="dxa"/>
            <w:tcBorders>
              <w:top w:val="single" w:sz="4" w:space="0" w:color="auto"/>
              <w:left w:val="single" w:sz="4" w:space="0" w:color="auto"/>
              <w:bottom w:val="single" w:sz="4" w:space="0" w:color="auto"/>
              <w:right w:val="single" w:sz="4" w:space="0" w:color="auto"/>
            </w:tcBorders>
            <w:vAlign w:val="center"/>
          </w:tcPr>
          <w:p w:rsidR="0015693D" w:rsidRPr="006B2453" w:rsidRDefault="00563551" w:rsidP="0015693D">
            <w:pPr>
              <w:suppressAutoHyphens/>
              <w:rPr>
                <w:rFonts w:cs="Arial"/>
                <w:b/>
                <w:sz w:val="24"/>
                <w:szCs w:val="24"/>
                <w:lang w:val="en-GB"/>
              </w:rPr>
            </w:pPr>
            <w:r>
              <w:rPr>
                <w:rFonts w:cs="Arial"/>
                <w:b/>
                <w:sz w:val="24"/>
                <w:szCs w:val="24"/>
                <w:lang w:val="en-GB"/>
              </w:rPr>
              <w:t>NMO United Kingdom</w:t>
            </w:r>
          </w:p>
        </w:tc>
        <w:tc>
          <w:tcPr>
            <w:tcW w:w="4613" w:type="dxa"/>
            <w:tcBorders>
              <w:top w:val="single" w:sz="4" w:space="0" w:color="auto"/>
              <w:left w:val="single" w:sz="4" w:space="0" w:color="auto"/>
              <w:bottom w:val="single" w:sz="4" w:space="0" w:color="auto"/>
              <w:right w:val="single" w:sz="4" w:space="0" w:color="auto"/>
            </w:tcBorders>
            <w:vAlign w:val="center"/>
          </w:tcPr>
          <w:p w:rsidR="0015693D" w:rsidRDefault="0015693D" w:rsidP="00A27162">
            <w:pPr>
              <w:suppressAutoHyphens/>
              <w:rPr>
                <w:rFonts w:ascii="Times New Roman" w:hAnsi="Times New Roman"/>
                <w:sz w:val="24"/>
                <w:szCs w:val="24"/>
                <w:lang w:val="en-GB"/>
              </w:rPr>
            </w:pPr>
            <w:r w:rsidRPr="00B867C3">
              <w:rPr>
                <w:rFonts w:cs="Arial"/>
                <w:sz w:val="24"/>
                <w:szCs w:val="24"/>
                <w:lang w:val="en-GB"/>
              </w:rPr>
              <w:t>Date:</w:t>
            </w:r>
            <w:r w:rsidR="00E27B20">
              <w:rPr>
                <w:rFonts w:cs="Arial"/>
                <w:sz w:val="24"/>
                <w:szCs w:val="24"/>
                <w:lang w:val="en-GB"/>
              </w:rPr>
              <w:t xml:space="preserve">  </w:t>
            </w:r>
            <w:r w:rsidR="00A27162">
              <w:rPr>
                <w:rFonts w:cs="Arial"/>
                <w:sz w:val="24"/>
                <w:szCs w:val="24"/>
                <w:lang w:val="en-GB"/>
              </w:rPr>
              <w:t>08</w:t>
            </w:r>
            <w:r w:rsidR="00E27B20">
              <w:rPr>
                <w:rFonts w:cs="Arial"/>
                <w:sz w:val="24"/>
                <w:szCs w:val="24"/>
                <w:lang w:val="en-GB"/>
              </w:rPr>
              <w:t xml:space="preserve"> </w:t>
            </w:r>
            <w:r w:rsidR="00A27162">
              <w:rPr>
                <w:rFonts w:cs="Arial"/>
                <w:sz w:val="24"/>
                <w:szCs w:val="24"/>
                <w:lang w:val="en-GB"/>
              </w:rPr>
              <w:t>July</w:t>
            </w:r>
            <w:r w:rsidR="00E27B20">
              <w:rPr>
                <w:rFonts w:cs="Arial"/>
                <w:sz w:val="24"/>
                <w:szCs w:val="24"/>
                <w:lang w:val="en-GB"/>
              </w:rPr>
              <w:t xml:space="preserve"> 201</w:t>
            </w:r>
            <w:r w:rsidR="00A27162">
              <w:rPr>
                <w:rFonts w:cs="Arial"/>
                <w:sz w:val="24"/>
                <w:szCs w:val="24"/>
                <w:lang w:val="en-GB"/>
              </w:rPr>
              <w:t>3</w:t>
            </w:r>
          </w:p>
        </w:tc>
      </w:tr>
      <w:tr w:rsidR="0015693D" w:rsidTr="00E27B20">
        <w:trPr>
          <w:cantSplit/>
          <w:trHeight w:val="397"/>
          <w:jc w:val="center"/>
        </w:trPr>
        <w:tc>
          <w:tcPr>
            <w:tcW w:w="1668" w:type="dxa"/>
            <w:vMerge/>
            <w:tcBorders>
              <w:left w:val="nil"/>
              <w:bottom w:val="nil"/>
              <w:right w:val="single" w:sz="4" w:space="0" w:color="auto"/>
            </w:tcBorders>
          </w:tcPr>
          <w:p w:rsidR="0015693D" w:rsidRDefault="0015693D" w:rsidP="00762300">
            <w:pPr>
              <w:suppressAutoHyphens/>
              <w:rPr>
                <w:rFonts w:ascii="Times New Roman" w:hAnsi="Times New Roman"/>
                <w:sz w:val="24"/>
                <w:szCs w:val="24"/>
                <w:lang w:val="en-GB"/>
              </w:rPr>
            </w:pPr>
          </w:p>
        </w:tc>
        <w:tc>
          <w:tcPr>
            <w:tcW w:w="3260" w:type="dxa"/>
            <w:tcBorders>
              <w:top w:val="single" w:sz="4" w:space="0" w:color="auto"/>
              <w:left w:val="single" w:sz="4" w:space="0" w:color="auto"/>
              <w:bottom w:val="single" w:sz="4" w:space="0" w:color="auto"/>
              <w:right w:val="single" w:sz="4" w:space="0" w:color="auto"/>
            </w:tcBorders>
            <w:vAlign w:val="center"/>
          </w:tcPr>
          <w:p w:rsidR="0015693D" w:rsidRPr="00961210" w:rsidRDefault="0015693D" w:rsidP="00762300">
            <w:pPr>
              <w:suppressAutoHyphens/>
              <w:rPr>
                <w:rFonts w:cs="Arial"/>
                <w:szCs w:val="22"/>
                <w:lang w:val="en-GB"/>
              </w:rPr>
            </w:pPr>
          </w:p>
        </w:tc>
        <w:tc>
          <w:tcPr>
            <w:tcW w:w="9858" w:type="dxa"/>
            <w:gridSpan w:val="2"/>
            <w:tcBorders>
              <w:top w:val="single" w:sz="4" w:space="0" w:color="auto"/>
              <w:left w:val="single" w:sz="4" w:space="0" w:color="auto"/>
              <w:bottom w:val="single" w:sz="4" w:space="0" w:color="auto"/>
              <w:right w:val="single" w:sz="4" w:space="0" w:color="auto"/>
            </w:tcBorders>
            <w:vAlign w:val="center"/>
          </w:tcPr>
          <w:p w:rsidR="0015693D" w:rsidRDefault="0015693D" w:rsidP="00F270D9">
            <w:pPr>
              <w:suppressAutoHyphens/>
              <w:rPr>
                <w:rFonts w:ascii="Times New Roman" w:hAnsi="Times New Roman"/>
                <w:sz w:val="24"/>
                <w:szCs w:val="24"/>
                <w:lang w:val="en-GB"/>
              </w:rPr>
            </w:pPr>
            <w:r>
              <w:rPr>
                <w:rFonts w:cs="Arial"/>
                <w:szCs w:val="22"/>
                <w:lang w:val="en-GB"/>
              </w:rPr>
              <w:t xml:space="preserve"> </w:t>
            </w:r>
            <w:r w:rsidR="00E27B20">
              <w:rPr>
                <w:rFonts w:cs="Arial"/>
                <w:szCs w:val="22"/>
                <w:lang w:val="en-GB"/>
              </w:rPr>
              <w:t>Comments accompanying the UK’s ‘</w:t>
            </w:r>
            <w:r w:rsidR="00F270D9">
              <w:rPr>
                <w:rFonts w:cs="Arial"/>
                <w:szCs w:val="22"/>
                <w:lang w:val="en-GB"/>
              </w:rPr>
              <w:t>Abstention</w:t>
            </w:r>
            <w:r w:rsidR="00E27B20">
              <w:rPr>
                <w:rFonts w:cs="Arial"/>
                <w:szCs w:val="22"/>
                <w:lang w:val="en-GB"/>
              </w:rPr>
              <w:t>’ vote</w:t>
            </w:r>
          </w:p>
        </w:tc>
      </w:tr>
    </w:tbl>
    <w:p w:rsidR="0015693D" w:rsidRPr="0092644B" w:rsidRDefault="0015693D" w:rsidP="0092644B">
      <w:pPr>
        <w:suppressAutoHyphens/>
        <w:rPr>
          <w:rFonts w:cs="Arial"/>
          <w:szCs w:val="22"/>
          <w:lang w:val="en-GB"/>
        </w:rPr>
      </w:pPr>
    </w:p>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32"/>
        <w:gridCol w:w="1532"/>
        <w:gridCol w:w="7451"/>
        <w:gridCol w:w="3820"/>
      </w:tblGrid>
      <w:tr w:rsidR="006F76BC" w:rsidRPr="004978B5" w:rsidTr="002656A0">
        <w:trPr>
          <w:cantSplit/>
          <w:trHeight w:val="340"/>
          <w:tblHeader/>
          <w:jc w:val="center"/>
        </w:trPr>
        <w:tc>
          <w:tcPr>
            <w:tcW w:w="1532" w:type="dxa"/>
          </w:tcPr>
          <w:p w:rsidR="006F76BC" w:rsidRPr="004978B5" w:rsidRDefault="006F76BC" w:rsidP="00762300">
            <w:pPr>
              <w:suppressAutoHyphens/>
              <w:jc w:val="center"/>
              <w:rPr>
                <w:rFonts w:ascii="Times New Roman" w:hAnsi="Times New Roman"/>
                <w:b/>
                <w:lang w:val="en-GB"/>
              </w:rPr>
            </w:pPr>
            <w:smartTag w:uri="urn:schemas-microsoft-com:office:smarttags" w:element="place">
              <w:smartTag w:uri="urn:schemas-microsoft-com:office:smarttags" w:element="PlaceName">
                <w:r>
                  <w:rPr>
                    <w:rFonts w:ascii="Times New Roman" w:hAnsi="Times New Roman"/>
                    <w:b/>
                    <w:lang w:val="en-GB"/>
                  </w:rPr>
                  <w:t>Member</w:t>
                </w:r>
              </w:smartTag>
              <w:r>
                <w:rPr>
                  <w:rFonts w:ascii="Times New Roman" w:hAnsi="Times New Roman"/>
                  <w:b/>
                  <w:lang w:val="en-GB"/>
                </w:rPr>
                <w:t xml:space="preserve"> </w:t>
              </w:r>
              <w:smartTag w:uri="urn:schemas-microsoft-com:office:smarttags" w:element="PlaceType">
                <w:r>
                  <w:rPr>
                    <w:rFonts w:ascii="Times New Roman" w:hAnsi="Times New Roman"/>
                    <w:b/>
                    <w:lang w:val="en-GB"/>
                  </w:rPr>
                  <w:t>State</w:t>
                </w:r>
              </w:smartTag>
            </w:smartTag>
            <w:r>
              <w:rPr>
                <w:rFonts w:ascii="Times New Roman" w:hAnsi="Times New Roman"/>
                <w:b/>
                <w:lang w:val="en-GB"/>
              </w:rPr>
              <w:t xml:space="preserve">/ </w:t>
            </w:r>
            <w:r w:rsidR="003B389D">
              <w:rPr>
                <w:rFonts w:ascii="Times New Roman" w:hAnsi="Times New Roman"/>
                <w:b/>
                <w:lang w:val="en-GB"/>
              </w:rPr>
              <w:t>Liaison</w:t>
            </w:r>
          </w:p>
        </w:tc>
        <w:tc>
          <w:tcPr>
            <w:tcW w:w="1532" w:type="dxa"/>
            <w:vAlign w:val="center"/>
          </w:tcPr>
          <w:p w:rsidR="006F76BC" w:rsidRPr="004978B5" w:rsidRDefault="002656A0" w:rsidP="00762300">
            <w:pPr>
              <w:suppressAutoHyphens/>
              <w:jc w:val="center"/>
              <w:rPr>
                <w:rFonts w:ascii="Times New Roman" w:hAnsi="Times New Roman"/>
                <w:b/>
                <w:lang w:val="en-GB"/>
              </w:rPr>
            </w:pPr>
            <w:r>
              <w:rPr>
                <w:rFonts w:ascii="Times New Roman" w:hAnsi="Times New Roman"/>
                <w:b/>
                <w:lang w:val="en-GB"/>
              </w:rPr>
              <w:t>Item</w:t>
            </w:r>
          </w:p>
        </w:tc>
        <w:tc>
          <w:tcPr>
            <w:tcW w:w="7451" w:type="dxa"/>
            <w:vAlign w:val="center"/>
          </w:tcPr>
          <w:p w:rsidR="006F76BC" w:rsidRPr="004978B5" w:rsidRDefault="002656A0" w:rsidP="00762300">
            <w:pPr>
              <w:suppressAutoHyphens/>
              <w:jc w:val="center"/>
              <w:rPr>
                <w:rFonts w:ascii="Times New Roman" w:hAnsi="Times New Roman"/>
                <w:b/>
                <w:lang w:val="en-GB"/>
              </w:rPr>
            </w:pPr>
            <w:r>
              <w:rPr>
                <w:rFonts w:ascii="Times New Roman" w:hAnsi="Times New Roman"/>
                <w:b/>
                <w:lang w:val="en-GB"/>
              </w:rPr>
              <w:t>Comment</w:t>
            </w:r>
          </w:p>
        </w:tc>
        <w:tc>
          <w:tcPr>
            <w:tcW w:w="3820" w:type="dxa"/>
            <w:vAlign w:val="center"/>
          </w:tcPr>
          <w:p w:rsidR="006F76BC" w:rsidRPr="004978B5" w:rsidRDefault="002656A0" w:rsidP="00762300">
            <w:pPr>
              <w:suppressAutoHyphens/>
              <w:jc w:val="center"/>
              <w:rPr>
                <w:rFonts w:ascii="Times New Roman" w:hAnsi="Times New Roman"/>
                <w:b/>
                <w:lang w:val="en-GB"/>
              </w:rPr>
            </w:pPr>
            <w:r>
              <w:rPr>
                <w:rFonts w:ascii="Times New Roman" w:hAnsi="Times New Roman"/>
                <w:b/>
                <w:lang w:val="en-GB"/>
              </w:rPr>
              <w:t>Response</w:t>
            </w:r>
          </w:p>
        </w:tc>
      </w:tr>
      <w:tr w:rsidR="00DE405E" w:rsidTr="002656A0">
        <w:trPr>
          <w:cantSplit/>
          <w:trHeight w:val="340"/>
          <w:jc w:val="center"/>
        </w:trPr>
        <w:tc>
          <w:tcPr>
            <w:tcW w:w="1532" w:type="dxa"/>
          </w:tcPr>
          <w:p w:rsidR="00DE405E" w:rsidRDefault="00DE405E" w:rsidP="00E72307">
            <w:pPr>
              <w:jc w:val="center"/>
              <w:rPr>
                <w:rFonts w:ascii="Times New Roman" w:eastAsiaTheme="minorHAnsi" w:hAnsi="Times New Roman"/>
                <w:szCs w:val="22"/>
              </w:rPr>
            </w:pPr>
            <w:r>
              <w:rPr>
                <w:rFonts w:ascii="Times New Roman" w:hAnsi="Times New Roman"/>
              </w:rPr>
              <w:t>UK</w:t>
            </w:r>
          </w:p>
        </w:tc>
        <w:tc>
          <w:tcPr>
            <w:tcW w:w="1532" w:type="dxa"/>
          </w:tcPr>
          <w:p w:rsidR="00DE405E" w:rsidRDefault="00DE405E" w:rsidP="00E72307">
            <w:pPr>
              <w:jc w:val="center"/>
              <w:rPr>
                <w:rFonts w:ascii="Times New Roman" w:eastAsiaTheme="minorHAnsi" w:hAnsi="Times New Roman"/>
                <w:szCs w:val="22"/>
              </w:rPr>
            </w:pPr>
            <w:r>
              <w:rPr>
                <w:sz w:val="21"/>
                <w:szCs w:val="21"/>
              </w:rPr>
              <w:t>8.3.2</w:t>
            </w:r>
          </w:p>
        </w:tc>
        <w:tc>
          <w:tcPr>
            <w:tcW w:w="7451" w:type="dxa"/>
          </w:tcPr>
          <w:p w:rsidR="00DE405E" w:rsidRDefault="00DE405E" w:rsidP="00E72307">
            <w:pPr>
              <w:autoSpaceDE w:val="0"/>
              <w:autoSpaceDN w:val="0"/>
              <w:rPr>
                <w:rFonts w:eastAsiaTheme="minorHAnsi" w:cs="Arial"/>
                <w:sz w:val="21"/>
                <w:szCs w:val="21"/>
              </w:rPr>
            </w:pPr>
            <w:r>
              <w:rPr>
                <w:sz w:val="21"/>
                <w:szCs w:val="21"/>
              </w:rPr>
              <w:t>(</w:t>
            </w:r>
            <w:proofErr w:type="spellStart"/>
            <w:r>
              <w:rPr>
                <w:sz w:val="21"/>
                <w:szCs w:val="21"/>
              </w:rPr>
              <w:t>i</w:t>
            </w:r>
            <w:proofErr w:type="spellEnd"/>
            <w:r>
              <w:rPr>
                <w:sz w:val="21"/>
                <w:szCs w:val="21"/>
              </w:rPr>
              <w:t>) Is this requirement in addition to, or instead of, regular QC samples placed at intervals throughout the instrument run, which would normally be recommended in longer runs? Perhaps it would it be more useful to specify a maximum number of test samples between successive QC checks of this kind; for example, at least one reference standard solution should be run per 10 test samples, with not less than one such QC at the beginning and end of each measurement run.</w:t>
            </w:r>
          </w:p>
          <w:p w:rsidR="00DE405E" w:rsidRDefault="00DE405E" w:rsidP="00E72307">
            <w:pPr>
              <w:autoSpaceDE w:val="0"/>
              <w:autoSpaceDN w:val="0"/>
              <w:rPr>
                <w:rFonts w:ascii="Calibri" w:hAnsi="Calibri"/>
                <w:sz w:val="21"/>
                <w:szCs w:val="21"/>
              </w:rPr>
            </w:pPr>
            <w:r>
              <w:rPr>
                <w:sz w:val="21"/>
                <w:szCs w:val="21"/>
              </w:rPr>
              <w:t>(ii) Ideally, QC materials should be prepared completely independently from those used in calibration, since using one of the calibration standards in a dilution sequence will not pick up incorrect preparation of stock solution. Perhaps a note could be included to stress this best practice advice if it is not practical to include it as a formal requirement?</w:t>
            </w:r>
          </w:p>
          <w:p w:rsidR="00DE405E" w:rsidRDefault="00DE405E" w:rsidP="00E72307">
            <w:pPr>
              <w:autoSpaceDE w:val="0"/>
              <w:autoSpaceDN w:val="0"/>
              <w:rPr>
                <w:rFonts w:ascii="Times New Roman" w:eastAsiaTheme="minorHAnsi" w:hAnsi="Times New Roman"/>
                <w:b/>
                <w:bCs/>
                <w:szCs w:val="22"/>
              </w:rPr>
            </w:pPr>
            <w:r>
              <w:rPr>
                <w:b/>
                <w:bCs/>
                <w:sz w:val="21"/>
                <w:szCs w:val="21"/>
              </w:rPr>
              <w:t>We still believe that this paragraph be re-drafted along the lines of our comments.</w:t>
            </w:r>
          </w:p>
        </w:tc>
        <w:tc>
          <w:tcPr>
            <w:tcW w:w="3820" w:type="dxa"/>
          </w:tcPr>
          <w:p w:rsidR="00DE405E" w:rsidRDefault="00DE405E" w:rsidP="00762300">
            <w:pPr>
              <w:suppressAutoHyphens/>
              <w:jc w:val="both"/>
              <w:rPr>
                <w:rFonts w:ascii="Times New Roman" w:hAnsi="Times New Roman"/>
                <w:lang w:val="en-GB"/>
              </w:rPr>
            </w:pPr>
          </w:p>
        </w:tc>
      </w:tr>
      <w:tr w:rsidR="00DE405E" w:rsidTr="002656A0">
        <w:trPr>
          <w:cantSplit/>
          <w:trHeight w:val="340"/>
          <w:jc w:val="center"/>
        </w:trPr>
        <w:tc>
          <w:tcPr>
            <w:tcW w:w="1532" w:type="dxa"/>
          </w:tcPr>
          <w:p w:rsidR="00DE405E" w:rsidRDefault="00DE405E" w:rsidP="00E72307">
            <w:pPr>
              <w:jc w:val="center"/>
              <w:rPr>
                <w:rFonts w:ascii="Times New Roman" w:eastAsiaTheme="minorHAnsi" w:hAnsi="Times New Roman"/>
                <w:szCs w:val="22"/>
              </w:rPr>
            </w:pPr>
            <w:r>
              <w:rPr>
                <w:rFonts w:ascii="Times New Roman" w:hAnsi="Times New Roman"/>
              </w:rPr>
              <w:t>UK</w:t>
            </w:r>
          </w:p>
        </w:tc>
        <w:tc>
          <w:tcPr>
            <w:tcW w:w="1532" w:type="dxa"/>
          </w:tcPr>
          <w:p w:rsidR="00DE405E" w:rsidRDefault="00DE405E" w:rsidP="00E72307">
            <w:pPr>
              <w:jc w:val="center"/>
              <w:rPr>
                <w:rFonts w:ascii="Times New Roman" w:eastAsiaTheme="minorHAnsi" w:hAnsi="Times New Roman"/>
                <w:szCs w:val="22"/>
              </w:rPr>
            </w:pPr>
            <w:r>
              <w:rPr>
                <w:sz w:val="21"/>
                <w:szCs w:val="21"/>
              </w:rPr>
              <w:t>8.3.3</w:t>
            </w:r>
          </w:p>
        </w:tc>
        <w:tc>
          <w:tcPr>
            <w:tcW w:w="7451" w:type="dxa"/>
          </w:tcPr>
          <w:p w:rsidR="00DE405E" w:rsidRDefault="00DE405E" w:rsidP="00E72307">
            <w:pPr>
              <w:autoSpaceDE w:val="0"/>
              <w:autoSpaceDN w:val="0"/>
              <w:rPr>
                <w:rFonts w:eastAsiaTheme="minorHAnsi" w:cs="Arial"/>
                <w:sz w:val="21"/>
                <w:szCs w:val="21"/>
              </w:rPr>
            </w:pPr>
            <w:r>
              <w:rPr>
                <w:sz w:val="21"/>
                <w:szCs w:val="21"/>
              </w:rPr>
              <w:t xml:space="preserve">A performance test of this kind would normally be something akin to a system suitability check, perhaps involving a single well-characterised test material run 3-5 times to check precision before calibrating or a simple check on LOD. If so, it would be useful to provide an indication of what tests were to be done (for example a statistical test of whether the precision had genuinely deteriorated), or at least provide some warning as a Note, so that the limited amount of data (cf. Box 1 above) did not lead to unnecessary servicing or adjustment of the instrument. </w:t>
            </w:r>
          </w:p>
          <w:p w:rsidR="00DE405E" w:rsidRDefault="00DE405E" w:rsidP="00E72307">
            <w:pPr>
              <w:autoSpaceDE w:val="0"/>
              <w:autoSpaceDN w:val="0"/>
              <w:rPr>
                <w:rFonts w:ascii="Calibri" w:hAnsi="Calibri"/>
                <w:b/>
                <w:bCs/>
                <w:sz w:val="21"/>
                <w:szCs w:val="21"/>
              </w:rPr>
            </w:pPr>
            <w:r>
              <w:rPr>
                <w:b/>
                <w:bCs/>
                <w:sz w:val="21"/>
                <w:szCs w:val="21"/>
              </w:rPr>
              <w:t>We still believe that this point needs addressing as the current</w:t>
            </w:r>
          </w:p>
          <w:p w:rsidR="00DE405E" w:rsidRDefault="00DE405E" w:rsidP="00E72307">
            <w:pPr>
              <w:rPr>
                <w:rFonts w:ascii="Times New Roman" w:eastAsiaTheme="minorHAnsi" w:hAnsi="Times New Roman"/>
                <w:szCs w:val="22"/>
              </w:rPr>
            </w:pPr>
            <w:proofErr w:type="gramStart"/>
            <w:r>
              <w:rPr>
                <w:b/>
                <w:bCs/>
                <w:sz w:val="21"/>
                <w:szCs w:val="21"/>
              </w:rPr>
              <w:t>wording</w:t>
            </w:r>
            <w:proofErr w:type="gramEnd"/>
            <w:r>
              <w:rPr>
                <w:b/>
                <w:bCs/>
                <w:sz w:val="21"/>
                <w:szCs w:val="21"/>
              </w:rPr>
              <w:t xml:space="preserve"> of this paragraph is not sufficiently specific.</w:t>
            </w:r>
          </w:p>
        </w:tc>
        <w:tc>
          <w:tcPr>
            <w:tcW w:w="3820" w:type="dxa"/>
          </w:tcPr>
          <w:p w:rsidR="00DE405E" w:rsidRDefault="00DE405E" w:rsidP="00762300">
            <w:pPr>
              <w:suppressAutoHyphens/>
              <w:jc w:val="both"/>
              <w:rPr>
                <w:rFonts w:ascii="Times New Roman" w:hAnsi="Times New Roman"/>
                <w:lang w:val="en-GB"/>
              </w:rPr>
            </w:pPr>
          </w:p>
        </w:tc>
      </w:tr>
      <w:tr w:rsidR="00DE405E" w:rsidTr="002656A0">
        <w:trPr>
          <w:cantSplit/>
          <w:trHeight w:val="340"/>
          <w:jc w:val="center"/>
        </w:trPr>
        <w:tc>
          <w:tcPr>
            <w:tcW w:w="1532" w:type="dxa"/>
          </w:tcPr>
          <w:p w:rsidR="00DE405E" w:rsidRDefault="00DE405E" w:rsidP="00E72307">
            <w:pPr>
              <w:jc w:val="center"/>
              <w:rPr>
                <w:rFonts w:ascii="Times New Roman" w:eastAsiaTheme="minorHAnsi" w:hAnsi="Times New Roman"/>
                <w:szCs w:val="22"/>
              </w:rPr>
            </w:pPr>
            <w:r>
              <w:rPr>
                <w:rFonts w:ascii="Times New Roman" w:hAnsi="Times New Roman"/>
              </w:rPr>
              <w:t>UK</w:t>
            </w:r>
          </w:p>
        </w:tc>
        <w:tc>
          <w:tcPr>
            <w:tcW w:w="1532" w:type="dxa"/>
          </w:tcPr>
          <w:p w:rsidR="00DE405E" w:rsidRDefault="00DE405E" w:rsidP="00E72307">
            <w:pPr>
              <w:jc w:val="center"/>
              <w:rPr>
                <w:rFonts w:ascii="Times New Roman" w:eastAsiaTheme="minorHAnsi" w:hAnsi="Times New Roman"/>
                <w:szCs w:val="22"/>
              </w:rPr>
            </w:pPr>
            <w:r>
              <w:rPr>
                <w:sz w:val="21"/>
                <w:szCs w:val="21"/>
              </w:rPr>
              <w:t>A1.1</w:t>
            </w:r>
          </w:p>
        </w:tc>
        <w:tc>
          <w:tcPr>
            <w:tcW w:w="7451" w:type="dxa"/>
          </w:tcPr>
          <w:p w:rsidR="00DE405E" w:rsidRDefault="00DE405E" w:rsidP="00E72307">
            <w:pPr>
              <w:autoSpaceDE w:val="0"/>
              <w:autoSpaceDN w:val="0"/>
              <w:rPr>
                <w:rFonts w:eastAsiaTheme="minorHAnsi" w:cs="Arial"/>
                <w:sz w:val="21"/>
                <w:szCs w:val="21"/>
              </w:rPr>
            </w:pPr>
            <w:r>
              <w:rPr>
                <w:sz w:val="21"/>
                <w:szCs w:val="21"/>
              </w:rPr>
              <w:t>Drying of pure materials certified for calibration of instruments should normally follow supplier recommendations for use rather than a fixed prescription. We suggest adding ‘unless otherwise directed by the supplier of the material’.</w:t>
            </w:r>
          </w:p>
          <w:p w:rsidR="00DE405E" w:rsidRDefault="00DE405E" w:rsidP="00E72307">
            <w:pPr>
              <w:autoSpaceDE w:val="0"/>
              <w:autoSpaceDN w:val="0"/>
              <w:rPr>
                <w:rFonts w:ascii="Times New Roman" w:eastAsiaTheme="minorHAnsi" w:hAnsi="Times New Roman"/>
                <w:b/>
                <w:bCs/>
                <w:szCs w:val="22"/>
              </w:rPr>
            </w:pPr>
            <w:r>
              <w:rPr>
                <w:b/>
                <w:bCs/>
                <w:sz w:val="21"/>
                <w:szCs w:val="21"/>
              </w:rPr>
              <w:t>We still believe that this comment needs to be taken on board as it compromises metrological principles otherwise.</w:t>
            </w:r>
          </w:p>
        </w:tc>
        <w:tc>
          <w:tcPr>
            <w:tcW w:w="3820" w:type="dxa"/>
          </w:tcPr>
          <w:p w:rsidR="00DE405E" w:rsidRDefault="00DE405E" w:rsidP="00762300">
            <w:pPr>
              <w:suppressAutoHyphens/>
              <w:jc w:val="both"/>
              <w:rPr>
                <w:rFonts w:ascii="Times New Roman" w:hAnsi="Times New Roman"/>
                <w:lang w:val="en-GB"/>
              </w:rPr>
            </w:pPr>
          </w:p>
        </w:tc>
      </w:tr>
      <w:tr w:rsidR="00DE405E" w:rsidTr="002656A0">
        <w:trPr>
          <w:cantSplit/>
          <w:trHeight w:val="340"/>
          <w:jc w:val="center"/>
        </w:trPr>
        <w:tc>
          <w:tcPr>
            <w:tcW w:w="1532" w:type="dxa"/>
          </w:tcPr>
          <w:p w:rsidR="00DE405E" w:rsidRDefault="00DE405E" w:rsidP="00E72307">
            <w:pPr>
              <w:jc w:val="center"/>
              <w:rPr>
                <w:rFonts w:ascii="Times New Roman" w:eastAsiaTheme="minorHAnsi" w:hAnsi="Times New Roman"/>
                <w:szCs w:val="22"/>
              </w:rPr>
            </w:pPr>
            <w:r>
              <w:rPr>
                <w:rFonts w:ascii="Times New Roman" w:hAnsi="Times New Roman"/>
              </w:rPr>
              <w:t>UK</w:t>
            </w:r>
          </w:p>
        </w:tc>
        <w:tc>
          <w:tcPr>
            <w:tcW w:w="1532" w:type="dxa"/>
          </w:tcPr>
          <w:p w:rsidR="00DE405E" w:rsidRDefault="00DE405E" w:rsidP="00E72307">
            <w:pPr>
              <w:jc w:val="center"/>
              <w:rPr>
                <w:rFonts w:ascii="Times New Roman" w:eastAsiaTheme="minorHAnsi" w:hAnsi="Times New Roman"/>
                <w:szCs w:val="22"/>
              </w:rPr>
            </w:pPr>
            <w:r>
              <w:rPr>
                <w:sz w:val="21"/>
                <w:szCs w:val="21"/>
              </w:rPr>
              <w:t>B4.5.1-4.5.3</w:t>
            </w:r>
          </w:p>
        </w:tc>
        <w:tc>
          <w:tcPr>
            <w:tcW w:w="7451" w:type="dxa"/>
          </w:tcPr>
          <w:p w:rsidR="00DE405E" w:rsidRDefault="00DE405E" w:rsidP="00E72307">
            <w:pPr>
              <w:autoSpaceDE w:val="0"/>
              <w:autoSpaceDN w:val="0"/>
              <w:rPr>
                <w:rFonts w:ascii="Times New Roman" w:eastAsiaTheme="minorHAnsi" w:hAnsi="Times New Roman"/>
                <w:szCs w:val="22"/>
              </w:rPr>
            </w:pPr>
            <w:r>
              <w:rPr>
                <w:sz w:val="21"/>
                <w:szCs w:val="21"/>
              </w:rPr>
              <w:t>We still believe that there seems to be a potentially serious mismatch between required precision and required r</w:t>
            </w:r>
            <w:r>
              <w:rPr>
                <w:sz w:val="14"/>
                <w:szCs w:val="14"/>
              </w:rPr>
              <w:t xml:space="preserve">2 </w:t>
            </w:r>
            <w:r>
              <w:rPr>
                <w:sz w:val="21"/>
                <w:szCs w:val="21"/>
              </w:rPr>
              <w:t>here. Comparison with literature [</w:t>
            </w:r>
            <w:proofErr w:type="spellStart"/>
            <w:r>
              <w:rPr>
                <w:sz w:val="21"/>
                <w:szCs w:val="21"/>
              </w:rPr>
              <w:t>Accred</w:t>
            </w:r>
            <w:proofErr w:type="spellEnd"/>
            <w:r>
              <w:rPr>
                <w:sz w:val="21"/>
                <w:szCs w:val="21"/>
              </w:rPr>
              <w:t xml:space="preserve"> Qual </w:t>
            </w:r>
            <w:proofErr w:type="spellStart"/>
            <w:r>
              <w:rPr>
                <w:sz w:val="21"/>
                <w:szCs w:val="21"/>
              </w:rPr>
              <w:t>Assur</w:t>
            </w:r>
            <w:proofErr w:type="spellEnd"/>
            <w:r>
              <w:rPr>
                <w:sz w:val="21"/>
                <w:szCs w:val="21"/>
              </w:rPr>
              <w:t xml:space="preserve"> (2006) 11: 146-152] on available standard error of prediction, which is dominated by the residual SD, indicates that r</w:t>
            </w:r>
            <w:r>
              <w:rPr>
                <w:sz w:val="14"/>
                <w:szCs w:val="14"/>
              </w:rPr>
              <w:t xml:space="preserve">2 </w:t>
            </w:r>
            <w:r>
              <w:rPr>
                <w:sz w:val="21"/>
                <w:szCs w:val="21"/>
              </w:rPr>
              <w:t xml:space="preserve">equal to 0.98 based on five mean values of ten observations each would be associated with a residual standard deviation well over 5 % of the mean value of the response. This would not be sufficient to meet the metrological requirements of Tables 1 and 2 and </w:t>
            </w:r>
            <w:proofErr w:type="spellStart"/>
            <w:r>
              <w:rPr>
                <w:sz w:val="21"/>
                <w:szCs w:val="21"/>
              </w:rPr>
              <w:t>para</w:t>
            </w:r>
            <w:proofErr w:type="spellEnd"/>
            <w:r>
              <w:rPr>
                <w:sz w:val="21"/>
                <w:szCs w:val="21"/>
              </w:rPr>
              <w:t xml:space="preserve"> 5.5. If the linear fit is to as few as three values, the situation becomes worse. To address this, r</w:t>
            </w:r>
            <w:r>
              <w:rPr>
                <w:sz w:val="14"/>
                <w:szCs w:val="14"/>
              </w:rPr>
              <w:t xml:space="preserve">2 </w:t>
            </w:r>
            <w:r>
              <w:rPr>
                <w:sz w:val="21"/>
                <w:szCs w:val="21"/>
              </w:rPr>
              <w:t>would (based on the tables in the reference cited) need to be better than 0.99 and should be calculated from the independent data points rather than the mean values. If calculated from the mean values, r</w:t>
            </w:r>
            <w:r>
              <w:rPr>
                <w:sz w:val="14"/>
                <w:szCs w:val="14"/>
              </w:rPr>
              <w:t xml:space="preserve">2 </w:t>
            </w:r>
            <w:r>
              <w:rPr>
                <w:sz w:val="21"/>
                <w:szCs w:val="21"/>
              </w:rPr>
              <w:t>would probably need to be above 0.999 to provide satisfactory precision at the mid-point. While we have checked this via a brief simulation, we would strongly suggest that the r</w:t>
            </w:r>
            <w:r>
              <w:rPr>
                <w:sz w:val="14"/>
                <w:szCs w:val="14"/>
              </w:rPr>
              <w:t xml:space="preserve">2 </w:t>
            </w:r>
            <w:r>
              <w:rPr>
                <w:sz w:val="21"/>
                <w:szCs w:val="21"/>
              </w:rPr>
              <w:t>criterion be carefully reviewed and tested to ensure that it is consistent with the required precision. We have picked-up comments from our network of contacts in the UK who have significant experience and expertise in the analysis of waters for metal pollutants. This network agrees strongly with our view on Sections B4.5.1-4.5.3, and is of the opinion that such an approach is not in compliance with European Union guidelines and practice. They also believe strongly we should be encouraging the use of more modern technology that is more sensitive and less susceptible to interference.</w:t>
            </w:r>
          </w:p>
        </w:tc>
        <w:tc>
          <w:tcPr>
            <w:tcW w:w="3820" w:type="dxa"/>
          </w:tcPr>
          <w:p w:rsidR="00DE405E" w:rsidRDefault="00DE405E" w:rsidP="00762300">
            <w:pPr>
              <w:suppressAutoHyphens/>
              <w:jc w:val="both"/>
              <w:rPr>
                <w:rFonts w:ascii="Times New Roman" w:hAnsi="Times New Roman"/>
                <w:lang w:val="en-GB"/>
              </w:rPr>
            </w:pPr>
          </w:p>
        </w:tc>
      </w:tr>
      <w:tr w:rsidR="00DE405E" w:rsidTr="002656A0">
        <w:trPr>
          <w:cantSplit/>
          <w:trHeight w:val="340"/>
          <w:jc w:val="center"/>
        </w:trPr>
        <w:tc>
          <w:tcPr>
            <w:tcW w:w="1532" w:type="dxa"/>
          </w:tcPr>
          <w:p w:rsidR="00DE405E" w:rsidRDefault="00DE405E" w:rsidP="00E72307">
            <w:pPr>
              <w:jc w:val="center"/>
              <w:rPr>
                <w:rFonts w:ascii="Times New Roman" w:eastAsiaTheme="minorHAnsi" w:hAnsi="Times New Roman"/>
                <w:szCs w:val="22"/>
              </w:rPr>
            </w:pPr>
            <w:r>
              <w:rPr>
                <w:rFonts w:ascii="Times New Roman" w:hAnsi="Times New Roman"/>
              </w:rPr>
              <w:t>UK</w:t>
            </w:r>
          </w:p>
        </w:tc>
        <w:tc>
          <w:tcPr>
            <w:tcW w:w="1532" w:type="dxa"/>
          </w:tcPr>
          <w:p w:rsidR="00DE405E" w:rsidRDefault="00DE405E" w:rsidP="00E72307">
            <w:pPr>
              <w:jc w:val="center"/>
              <w:rPr>
                <w:rFonts w:ascii="Times New Roman" w:eastAsiaTheme="minorHAnsi" w:hAnsi="Times New Roman"/>
                <w:szCs w:val="22"/>
              </w:rPr>
            </w:pPr>
            <w:r>
              <w:rPr>
                <w:rFonts w:ascii="Times New Roman" w:hAnsi="Times New Roman"/>
              </w:rPr>
              <w:t>Annex B</w:t>
            </w:r>
          </w:p>
        </w:tc>
        <w:tc>
          <w:tcPr>
            <w:tcW w:w="7451" w:type="dxa"/>
          </w:tcPr>
          <w:p w:rsidR="00DE405E" w:rsidRDefault="00DE405E" w:rsidP="00E72307">
            <w:pPr>
              <w:autoSpaceDE w:val="0"/>
              <w:autoSpaceDN w:val="0"/>
              <w:rPr>
                <w:rFonts w:eastAsiaTheme="minorHAnsi" w:cs="Arial"/>
                <w:sz w:val="21"/>
                <w:szCs w:val="21"/>
              </w:rPr>
            </w:pPr>
            <w:r>
              <w:rPr>
                <w:sz w:val="21"/>
                <w:szCs w:val="21"/>
              </w:rPr>
              <w:t>In Annex B, there is no Section B.3. The text jumps straight from B.2 to B.4, and section</w:t>
            </w:r>
          </w:p>
          <w:p w:rsidR="00DE405E" w:rsidRDefault="00DE405E" w:rsidP="00E72307">
            <w:pPr>
              <w:rPr>
                <w:rFonts w:ascii="Times New Roman" w:eastAsiaTheme="minorHAnsi" w:hAnsi="Times New Roman"/>
                <w:szCs w:val="22"/>
              </w:rPr>
            </w:pPr>
            <w:r>
              <w:rPr>
                <w:sz w:val="21"/>
                <w:szCs w:val="21"/>
              </w:rPr>
              <w:t>B.4.3.1 references B.3.3.1.</w:t>
            </w:r>
          </w:p>
        </w:tc>
        <w:tc>
          <w:tcPr>
            <w:tcW w:w="3820" w:type="dxa"/>
          </w:tcPr>
          <w:p w:rsidR="00DE405E" w:rsidRDefault="00DE405E" w:rsidP="00762300">
            <w:pPr>
              <w:suppressAutoHyphens/>
              <w:jc w:val="both"/>
              <w:rPr>
                <w:rFonts w:ascii="Times New Roman" w:hAnsi="Times New Roman"/>
                <w:lang w:val="en-GB"/>
              </w:rPr>
            </w:pPr>
          </w:p>
        </w:tc>
      </w:tr>
    </w:tbl>
    <w:p w:rsidR="00CB4345" w:rsidRDefault="00CB4345" w:rsidP="00C2100C"/>
    <w:sectPr w:rsidR="00CB4345" w:rsidSect="00762300">
      <w:footnotePr>
        <w:numRestart w:val="eachPage"/>
      </w:footnotePr>
      <w:endnotePr>
        <w:numFmt w:val="decimal"/>
      </w:endnotePr>
      <w:pgSz w:w="16838" w:h="11906" w:orient="landscape" w:code="9"/>
      <w:pgMar w:top="567" w:right="567" w:bottom="567" w:left="567" w:header="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E5E" w:rsidRDefault="00283E5E">
      <w:r>
        <w:separator/>
      </w:r>
    </w:p>
  </w:endnote>
  <w:endnote w:type="continuationSeparator" w:id="0">
    <w:p w:rsidR="00283E5E" w:rsidRDefault="00283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E5E" w:rsidRDefault="00283E5E">
      <w:r>
        <w:separator/>
      </w:r>
    </w:p>
  </w:footnote>
  <w:footnote w:type="continuationSeparator" w:id="0">
    <w:p w:rsidR="00283E5E" w:rsidRDefault="00283E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CFF"/>
    <w:multiLevelType w:val="multilevel"/>
    <w:tmpl w:val="47BE947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5173D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56214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9D53204"/>
    <w:multiLevelType w:val="multilevel"/>
    <w:tmpl w:val="47BE947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17337B5"/>
    <w:multiLevelType w:val="hybridMultilevel"/>
    <w:tmpl w:val="BB38FB1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39BB77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3F393618"/>
    <w:multiLevelType w:val="singleLevel"/>
    <w:tmpl w:val="0F94EC68"/>
    <w:lvl w:ilvl="0">
      <w:start w:val="21"/>
      <w:numFmt w:val="bullet"/>
      <w:lvlText w:val="-"/>
      <w:lvlJc w:val="left"/>
      <w:pPr>
        <w:tabs>
          <w:tab w:val="num" w:pos="1800"/>
        </w:tabs>
        <w:ind w:left="1800" w:hanging="360"/>
      </w:pPr>
      <w:rPr>
        <w:rFonts w:hint="default"/>
      </w:rPr>
    </w:lvl>
  </w:abstractNum>
  <w:abstractNum w:abstractNumId="7">
    <w:nsid w:val="52554B64"/>
    <w:multiLevelType w:val="multilevel"/>
    <w:tmpl w:val="23E44998"/>
    <w:lvl w:ilvl="0">
      <w:start w:val="4"/>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56D164BA"/>
    <w:multiLevelType w:val="multilevel"/>
    <w:tmpl w:val="23F0F46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nsid w:val="5A442738"/>
    <w:multiLevelType w:val="multilevel"/>
    <w:tmpl w:val="F252FB78"/>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5ABB7488"/>
    <w:multiLevelType w:val="multilevel"/>
    <w:tmpl w:val="B41C098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1500"/>
        </w:tabs>
        <w:ind w:left="1500" w:hanging="780"/>
      </w:pPr>
      <w:rPr>
        <w:rFonts w:hint="default"/>
      </w:rPr>
    </w:lvl>
    <w:lvl w:ilvl="2">
      <w:start w:val="1"/>
      <w:numFmt w:val="decimal"/>
      <w:lvlText w:val="%1.%2.%3"/>
      <w:lvlJc w:val="left"/>
      <w:pPr>
        <w:tabs>
          <w:tab w:val="num" w:pos="2220"/>
        </w:tabs>
        <w:ind w:left="2220" w:hanging="780"/>
      </w:pPr>
      <w:rPr>
        <w:rFonts w:hint="default"/>
      </w:rPr>
    </w:lvl>
    <w:lvl w:ilvl="3">
      <w:start w:val="1"/>
      <w:numFmt w:val="decimal"/>
      <w:lvlText w:val="%1.%2.%3.%4"/>
      <w:lvlJc w:val="left"/>
      <w:pPr>
        <w:tabs>
          <w:tab w:val="num" w:pos="2940"/>
        </w:tabs>
        <w:ind w:left="2940" w:hanging="7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64E5716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5"/>
  </w:num>
  <w:num w:numId="3">
    <w:abstractNumId w:val="1"/>
  </w:num>
  <w:num w:numId="4">
    <w:abstractNumId w:val="11"/>
  </w:num>
  <w:num w:numId="5">
    <w:abstractNumId w:val="6"/>
  </w:num>
  <w:num w:numId="6">
    <w:abstractNumId w:val="8"/>
  </w:num>
  <w:num w:numId="7">
    <w:abstractNumId w:val="7"/>
  </w:num>
  <w:num w:numId="8">
    <w:abstractNumId w:val="9"/>
  </w:num>
  <w:num w:numId="9">
    <w:abstractNumId w:val="0"/>
  </w:num>
  <w:num w:numId="10">
    <w:abstractNumId w:val="2"/>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hdrShapeDefaults>
    <o:shapedefaults v:ext="edit" spidmax="11265"/>
  </w:hdrShapeDefault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7241"/>
    <w:rsid w:val="00002DD7"/>
    <w:rsid w:val="000554C9"/>
    <w:rsid w:val="00065E96"/>
    <w:rsid w:val="0007427A"/>
    <w:rsid w:val="000802B4"/>
    <w:rsid w:val="000C5573"/>
    <w:rsid w:val="0015693D"/>
    <w:rsid w:val="00174C2F"/>
    <w:rsid w:val="001E3A21"/>
    <w:rsid w:val="0026039E"/>
    <w:rsid w:val="002656A0"/>
    <w:rsid w:val="00283E5E"/>
    <w:rsid w:val="002F19F9"/>
    <w:rsid w:val="00327556"/>
    <w:rsid w:val="00355D77"/>
    <w:rsid w:val="0036656C"/>
    <w:rsid w:val="003667F6"/>
    <w:rsid w:val="00380F9A"/>
    <w:rsid w:val="00385B0D"/>
    <w:rsid w:val="0039586D"/>
    <w:rsid w:val="003B389D"/>
    <w:rsid w:val="003C2470"/>
    <w:rsid w:val="003C5DD7"/>
    <w:rsid w:val="003D1131"/>
    <w:rsid w:val="003E1E4F"/>
    <w:rsid w:val="003F666F"/>
    <w:rsid w:val="00406F44"/>
    <w:rsid w:val="004454E0"/>
    <w:rsid w:val="004978B5"/>
    <w:rsid w:val="004B38D3"/>
    <w:rsid w:val="00502565"/>
    <w:rsid w:val="00537E7D"/>
    <w:rsid w:val="00540572"/>
    <w:rsid w:val="00553A94"/>
    <w:rsid w:val="00563551"/>
    <w:rsid w:val="005779CA"/>
    <w:rsid w:val="00583C85"/>
    <w:rsid w:val="00593911"/>
    <w:rsid w:val="005A4EDD"/>
    <w:rsid w:val="005C5409"/>
    <w:rsid w:val="005D0666"/>
    <w:rsid w:val="00607BC2"/>
    <w:rsid w:val="006137C6"/>
    <w:rsid w:val="00613B65"/>
    <w:rsid w:val="00616A0C"/>
    <w:rsid w:val="00640F69"/>
    <w:rsid w:val="00652326"/>
    <w:rsid w:val="00657CDB"/>
    <w:rsid w:val="006A2B55"/>
    <w:rsid w:val="006B2453"/>
    <w:rsid w:val="006B4B37"/>
    <w:rsid w:val="006C50A6"/>
    <w:rsid w:val="006E32E7"/>
    <w:rsid w:val="006F76BC"/>
    <w:rsid w:val="007158B6"/>
    <w:rsid w:val="00750FA1"/>
    <w:rsid w:val="00762300"/>
    <w:rsid w:val="0078693F"/>
    <w:rsid w:val="007B3C05"/>
    <w:rsid w:val="00837970"/>
    <w:rsid w:val="00863816"/>
    <w:rsid w:val="0086650D"/>
    <w:rsid w:val="0092644B"/>
    <w:rsid w:val="00945607"/>
    <w:rsid w:val="00956203"/>
    <w:rsid w:val="00961210"/>
    <w:rsid w:val="009B421E"/>
    <w:rsid w:val="009C18C5"/>
    <w:rsid w:val="009C5E6B"/>
    <w:rsid w:val="009D503A"/>
    <w:rsid w:val="009F4F63"/>
    <w:rsid w:val="00A27162"/>
    <w:rsid w:val="00A3164C"/>
    <w:rsid w:val="00A74D0C"/>
    <w:rsid w:val="00A835A8"/>
    <w:rsid w:val="00A84EEC"/>
    <w:rsid w:val="00AA5655"/>
    <w:rsid w:val="00AE0564"/>
    <w:rsid w:val="00B17619"/>
    <w:rsid w:val="00B27040"/>
    <w:rsid w:val="00B50292"/>
    <w:rsid w:val="00B63610"/>
    <w:rsid w:val="00B64609"/>
    <w:rsid w:val="00B867C3"/>
    <w:rsid w:val="00B92168"/>
    <w:rsid w:val="00C0685F"/>
    <w:rsid w:val="00C16E5A"/>
    <w:rsid w:val="00C2100C"/>
    <w:rsid w:val="00C31C70"/>
    <w:rsid w:val="00C54389"/>
    <w:rsid w:val="00C70496"/>
    <w:rsid w:val="00C84C4D"/>
    <w:rsid w:val="00C87DD7"/>
    <w:rsid w:val="00CB4345"/>
    <w:rsid w:val="00CC3437"/>
    <w:rsid w:val="00D20B1B"/>
    <w:rsid w:val="00D659E5"/>
    <w:rsid w:val="00D737A5"/>
    <w:rsid w:val="00D9470E"/>
    <w:rsid w:val="00D977BB"/>
    <w:rsid w:val="00DA0F0C"/>
    <w:rsid w:val="00DB674C"/>
    <w:rsid w:val="00DC0355"/>
    <w:rsid w:val="00DD58DD"/>
    <w:rsid w:val="00DD7361"/>
    <w:rsid w:val="00DE405E"/>
    <w:rsid w:val="00E0675E"/>
    <w:rsid w:val="00E27B20"/>
    <w:rsid w:val="00E514F0"/>
    <w:rsid w:val="00E864B5"/>
    <w:rsid w:val="00E95448"/>
    <w:rsid w:val="00ED0B07"/>
    <w:rsid w:val="00EE47AA"/>
    <w:rsid w:val="00F02B63"/>
    <w:rsid w:val="00F270D9"/>
    <w:rsid w:val="00F300CB"/>
    <w:rsid w:val="00F42A30"/>
    <w:rsid w:val="00F47241"/>
    <w:rsid w:val="00F574AF"/>
    <w:rsid w:val="00F57862"/>
    <w:rsid w:val="00F7216C"/>
    <w:rsid w:val="00F7292B"/>
    <w:rsid w:val="00F74544"/>
    <w:rsid w:val="00F805D7"/>
    <w:rsid w:val="00FE082A"/>
    <w:rsid w:val="00FE6418"/>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B63"/>
    <w:rPr>
      <w:rFonts w:ascii="Arial" w:hAnsi="Arial"/>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F02B63"/>
    <w:pPr>
      <w:shd w:val="clear" w:color="auto" w:fill="000080"/>
    </w:pPr>
    <w:rPr>
      <w:rFonts w:ascii="Tahoma" w:hAnsi="Tahoma"/>
    </w:rPr>
  </w:style>
  <w:style w:type="character" w:customStyle="1" w:styleId="Fort">
    <w:name w:val="Fort"/>
    <w:rsid w:val="00F02B63"/>
    <w:rPr>
      <w:b/>
    </w:rPr>
  </w:style>
  <w:style w:type="character" w:styleId="Emphasis">
    <w:name w:val="Emphasis"/>
    <w:basedOn w:val="DefaultParagraphFont"/>
    <w:qFormat/>
    <w:rsid w:val="00F02B63"/>
    <w:rPr>
      <w:i/>
    </w:rPr>
  </w:style>
  <w:style w:type="character" w:styleId="Hyperlink">
    <w:name w:val="Hyperlink"/>
    <w:basedOn w:val="DefaultParagraphFont"/>
    <w:rsid w:val="00F02B63"/>
    <w:rPr>
      <w:color w:val="0000FF"/>
      <w:u w:val="single"/>
    </w:rPr>
  </w:style>
  <w:style w:type="paragraph" w:styleId="Header">
    <w:name w:val="header"/>
    <w:basedOn w:val="Normal"/>
    <w:rsid w:val="00A74D0C"/>
    <w:pPr>
      <w:tabs>
        <w:tab w:val="center" w:pos="4320"/>
        <w:tab w:val="right" w:pos="8640"/>
      </w:tabs>
    </w:pPr>
  </w:style>
  <w:style w:type="paragraph" w:styleId="Footer">
    <w:name w:val="footer"/>
    <w:basedOn w:val="Normal"/>
    <w:rsid w:val="00F02B63"/>
    <w:pPr>
      <w:tabs>
        <w:tab w:val="center" w:pos="4320"/>
        <w:tab w:val="right" w:pos="8640"/>
      </w:tabs>
    </w:pPr>
    <w:rPr>
      <w:rFonts w:ascii="Univers" w:hAnsi="Univers"/>
      <w:sz w:val="20"/>
      <w:szCs w:val="24"/>
      <w:lang w:val="nl-NL" w:eastAsia="en-US"/>
    </w:rPr>
  </w:style>
  <w:style w:type="paragraph" w:styleId="BodyTextIndent">
    <w:name w:val="Body Text Indent"/>
    <w:basedOn w:val="Normal"/>
    <w:rsid w:val="00F02B63"/>
    <w:pPr>
      <w:ind w:left="720" w:hanging="720"/>
      <w:jc w:val="center"/>
    </w:pPr>
    <w:rPr>
      <w:rFonts w:ascii="Times New Roman" w:hAnsi="Times New Roman"/>
      <w:sz w:val="24"/>
      <w:lang w:val="en-US" w:eastAsia="en-US"/>
    </w:rPr>
  </w:style>
  <w:style w:type="paragraph" w:styleId="BalloonText">
    <w:name w:val="Balloon Text"/>
    <w:basedOn w:val="Normal"/>
    <w:semiHidden/>
    <w:rsid w:val="007623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3406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4062</CharactersWithSpaces>
  <SharedDoc>false</SharedDoc>
  <HLinks>
    <vt:vector size="6" baseType="variant">
      <vt:variant>
        <vt:i4>8192071</vt:i4>
      </vt:variant>
      <vt:variant>
        <vt:i4>0</vt:i4>
      </vt:variant>
      <vt:variant>
        <vt:i4>0</vt:i4>
      </vt:variant>
      <vt:variant>
        <vt:i4>5</vt:i4>
      </vt:variant>
      <vt:variant>
        <vt:lpwstr>mailto:morayo.awosola@nwml.gov.uk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MorayoA</dc:creator>
  <cp:keywords/>
  <dc:description/>
  <cp:lastModifiedBy>morayoa</cp:lastModifiedBy>
  <cp:revision>3</cp:revision>
  <cp:lastPrinted>2003-08-22T13:27:00Z</cp:lastPrinted>
  <dcterms:created xsi:type="dcterms:W3CDTF">2013-07-08T13:32:00Z</dcterms:created>
  <dcterms:modified xsi:type="dcterms:W3CDTF">2013-07-08T13:33:00Z</dcterms:modified>
</cp:coreProperties>
</file>